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281"/>
        <w:gridCol w:w="3217"/>
      </w:tblGrid>
      <w:tr w:rsidR="00EB448E" w:rsidRPr="00851801" w:rsidTr="00AD7B64">
        <w:trPr>
          <w:trHeight w:val="1560"/>
        </w:trPr>
        <w:tc>
          <w:tcPr>
            <w:tcW w:w="6281" w:type="dxa"/>
          </w:tcPr>
          <w:p w:rsidR="000A7E8E" w:rsidRPr="00E30B7D" w:rsidRDefault="000A7E8E" w:rsidP="000A7E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32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30B7D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A7E8E" w:rsidRPr="00E30B7D" w:rsidRDefault="000A7E8E" w:rsidP="000A7E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СЕЛЬСКОГО ПОСЕЛЕНИЯ                                 </w:t>
            </w:r>
          </w:p>
          <w:p w:rsidR="000A7E8E" w:rsidRPr="002576A1" w:rsidRDefault="000A7E8E" w:rsidP="000A7E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2576A1" w:rsidRPr="00BF7A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01092">
              <w:rPr>
                <w:rFonts w:ascii="Times New Roman" w:hAnsi="Times New Roman" w:cs="Times New Roman"/>
                <w:b/>
                <w:sz w:val="28"/>
                <w:szCs w:val="28"/>
              </w:rPr>
              <w:t>КАМЕННЫЙ БРОД</w:t>
            </w:r>
          </w:p>
          <w:p w:rsidR="000A7E8E" w:rsidRPr="00E30B7D" w:rsidRDefault="000A7E8E" w:rsidP="000A7E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7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0A7E8E" w:rsidRPr="00E30B7D" w:rsidRDefault="000A7E8E" w:rsidP="000A7E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ЧЕЛНО-ВЕРШИНСКИЙ</w:t>
            </w:r>
          </w:p>
          <w:p w:rsidR="000A7E8E" w:rsidRPr="00E30B7D" w:rsidRDefault="000A7E8E" w:rsidP="000A7E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САМАРСКОЙ  ОБЛАСТИ</w:t>
            </w:r>
          </w:p>
          <w:p w:rsidR="000A7E8E" w:rsidRPr="00E30B7D" w:rsidRDefault="000A7E8E" w:rsidP="000A7E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7E8E" w:rsidRPr="00E30B7D" w:rsidRDefault="000A7E8E" w:rsidP="000A7E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П О С Т А Н О В Л Е Н И Е </w:t>
            </w:r>
          </w:p>
          <w:p w:rsidR="00BF7A70" w:rsidRDefault="002576A1" w:rsidP="00763C79">
            <w:pPr>
              <w:ind w:right="-34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BF7A70" w:rsidRDefault="00BF7A70" w:rsidP="00763C79">
            <w:pPr>
              <w:ind w:right="-34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D1AB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A7E8E" w:rsidRPr="00361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1F8">
              <w:rPr>
                <w:rFonts w:ascii="Times New Roman" w:hAnsi="Times New Roman" w:cs="Times New Roman"/>
                <w:sz w:val="28"/>
                <w:szCs w:val="28"/>
              </w:rPr>
              <w:t xml:space="preserve">08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0A7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E8E" w:rsidRPr="0036132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A7E8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7E8E" w:rsidRPr="00361323">
              <w:rPr>
                <w:rFonts w:ascii="Times New Roman" w:hAnsi="Times New Roman" w:cs="Times New Roman"/>
                <w:sz w:val="28"/>
                <w:szCs w:val="28"/>
              </w:rPr>
              <w:t xml:space="preserve"> г.  № </w:t>
            </w:r>
            <w:r w:rsidR="00D371F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:rsidR="00EB448E" w:rsidRPr="00851801" w:rsidRDefault="00EB448E" w:rsidP="00763C79">
            <w:pPr>
              <w:ind w:right="-3467"/>
              <w:rPr>
                <w:sz w:val="28"/>
                <w:szCs w:val="28"/>
              </w:rPr>
            </w:pPr>
          </w:p>
        </w:tc>
        <w:tc>
          <w:tcPr>
            <w:tcW w:w="3217" w:type="dxa"/>
          </w:tcPr>
          <w:p w:rsidR="000A7E8E" w:rsidRDefault="00EB448E" w:rsidP="001871A6">
            <w:pPr>
              <w:rPr>
                <w:sz w:val="28"/>
                <w:szCs w:val="28"/>
              </w:rPr>
            </w:pPr>
            <w:r w:rsidRPr="00851801">
              <w:rPr>
                <w:sz w:val="28"/>
                <w:szCs w:val="28"/>
              </w:rPr>
              <w:t xml:space="preserve">      </w:t>
            </w:r>
          </w:p>
          <w:p w:rsidR="000A7E8E" w:rsidRDefault="000A7E8E" w:rsidP="001871A6">
            <w:pPr>
              <w:rPr>
                <w:sz w:val="28"/>
                <w:szCs w:val="28"/>
              </w:rPr>
            </w:pPr>
          </w:p>
          <w:p w:rsidR="00EB448E" w:rsidRPr="00851801" w:rsidRDefault="00EB448E" w:rsidP="001871A6">
            <w:pPr>
              <w:rPr>
                <w:sz w:val="28"/>
                <w:szCs w:val="28"/>
              </w:rPr>
            </w:pPr>
            <w:r w:rsidRPr="00851801">
              <w:rPr>
                <w:sz w:val="28"/>
                <w:szCs w:val="28"/>
              </w:rPr>
              <w:t xml:space="preserve">                           </w:t>
            </w:r>
          </w:p>
        </w:tc>
      </w:tr>
      <w:tr w:rsidR="00EB448E" w:rsidRPr="00851801" w:rsidTr="00AD7B64">
        <w:trPr>
          <w:trHeight w:val="9617"/>
        </w:trPr>
        <w:tc>
          <w:tcPr>
            <w:tcW w:w="9498" w:type="dxa"/>
            <w:gridSpan w:val="2"/>
          </w:tcPr>
          <w:p w:rsidR="00EB448E" w:rsidRDefault="00EB448E" w:rsidP="002576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1801">
              <w:rPr>
                <w:sz w:val="28"/>
                <w:szCs w:val="28"/>
              </w:rPr>
              <w:t xml:space="preserve">   </w:t>
            </w:r>
            <w:r w:rsidRPr="008518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методики прогнозирования поступлений доходов в бюджет</w:t>
            </w:r>
            <w:r w:rsidRPr="008518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сельского </w:t>
            </w:r>
            <w:r w:rsidR="00BF7A70" w:rsidRPr="008518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поселения </w:t>
            </w:r>
            <w:r w:rsidR="00501092">
              <w:rPr>
                <w:rFonts w:ascii="Times New Roman" w:hAnsi="Times New Roman" w:cs="Times New Roman"/>
                <w:bCs/>
                <w:sz w:val="28"/>
                <w:szCs w:val="28"/>
              </w:rPr>
              <w:t>Каменный Брод</w:t>
            </w:r>
            <w:r w:rsidRPr="008518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F7A70" w:rsidRPr="00851801" w:rsidRDefault="00BF7A70" w:rsidP="002576A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B448E" w:rsidRDefault="00EB448E" w:rsidP="000A7E8E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51801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пунктом 1 статьи 160.1 Бюджетного кодекса Российской Федерации, постановлением Правительства Российской Федерации от 23.06.2016</w:t>
            </w:r>
            <w:r w:rsidR="00D371F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574 «Об общих требованиях к методике прогнозирования поступлений доходов в бюджеты бюджетной системы Российской Федерации», ст.</w:t>
            </w:r>
            <w:r w:rsidR="00D37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 Федерального закона от 06.10.2003</w:t>
            </w:r>
            <w:r w:rsidR="00D371F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№131-ФЗ «Об общих принципах организации местного самоуправления в Российской Федерации»</w:t>
            </w:r>
            <w:r w:rsidR="000A7E8E">
              <w:rPr>
                <w:rFonts w:ascii="Times New Roman" w:hAnsi="Times New Roman" w:cs="Times New Roman"/>
                <w:sz w:val="28"/>
                <w:szCs w:val="28"/>
              </w:rPr>
              <w:t xml:space="preserve">, администрация сельского </w:t>
            </w:r>
            <w:r w:rsidR="00BF7A70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bookmarkStart w:id="0" w:name="_GoBack"/>
            <w:bookmarkEnd w:id="0"/>
            <w:proofErr w:type="gramEnd"/>
          </w:p>
          <w:p w:rsidR="00EB448E" w:rsidRDefault="00EB448E" w:rsidP="001871A6">
            <w:pPr>
              <w:pStyle w:val="ConsPlusNormal"/>
              <w:spacing w:line="276" w:lineRule="auto"/>
              <w:ind w:firstLine="708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48E" w:rsidRPr="000A7E8E" w:rsidRDefault="00EB448E" w:rsidP="000A7E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ПОСТАНОВЛЯ</w:t>
            </w:r>
            <w:r w:rsidR="000A7E8E" w:rsidRPr="000A7E8E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448E" w:rsidRPr="000A7E8E" w:rsidRDefault="00EB448E" w:rsidP="000A7E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48E" w:rsidRPr="00D502BD" w:rsidRDefault="00EB448E" w:rsidP="00D5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BD">
              <w:rPr>
                <w:rFonts w:ascii="Times New Roman" w:hAnsi="Times New Roman" w:cs="Times New Roman"/>
                <w:sz w:val="28"/>
                <w:szCs w:val="28"/>
              </w:rPr>
              <w:t>1.Утвердить прилагаемую М</w:t>
            </w:r>
            <w:r w:rsidRPr="00D502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етодику прогнозирования поступлений доходов в </w:t>
            </w:r>
            <w:r w:rsidR="00BF7A70" w:rsidRPr="00D502B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бюджет</w:t>
            </w:r>
            <w:r w:rsidR="00BF7A70" w:rsidRPr="00D502B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r w:rsidRPr="00D502BD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Pr="00D502BD">
              <w:rPr>
                <w:rFonts w:ascii="Times New Roman" w:hAnsi="Times New Roman" w:cs="Times New Roman"/>
                <w:sz w:val="28"/>
                <w:szCs w:val="28"/>
              </w:rPr>
              <w:t xml:space="preserve"> (далее -</w:t>
            </w:r>
            <w:r w:rsidR="00072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2BD">
              <w:rPr>
                <w:rFonts w:ascii="Times New Roman" w:hAnsi="Times New Roman" w:cs="Times New Roman"/>
                <w:sz w:val="28"/>
                <w:szCs w:val="28"/>
              </w:rPr>
              <w:t>Методика).</w:t>
            </w:r>
          </w:p>
          <w:p w:rsidR="000A7E8E" w:rsidRPr="00D502BD" w:rsidRDefault="000A7E8E" w:rsidP="00D5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57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2BD"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разместить на официа</w:t>
            </w:r>
            <w:r w:rsidR="002576A1">
              <w:rPr>
                <w:rFonts w:ascii="Times New Roman" w:hAnsi="Times New Roman" w:cs="Times New Roman"/>
                <w:sz w:val="28"/>
                <w:szCs w:val="28"/>
              </w:rPr>
              <w:t xml:space="preserve">льном сайте сельского поселения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Pr="00D502BD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</w:t>
            </w:r>
            <w:r w:rsidR="00654EF7" w:rsidRPr="00D502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448E" w:rsidRPr="00D502BD" w:rsidRDefault="000A7E8E" w:rsidP="00D5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448E" w:rsidRPr="00D502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F7A70" w:rsidRPr="00D502B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r w:rsidR="00EB448E" w:rsidRPr="00D502BD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настоящего постановления оставляю за собой.  </w:t>
            </w:r>
          </w:p>
          <w:p w:rsidR="00EB448E" w:rsidRPr="00D502BD" w:rsidRDefault="00EB448E" w:rsidP="00D5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48E" w:rsidRPr="00D502BD" w:rsidRDefault="00EB448E" w:rsidP="00D502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48E" w:rsidRPr="00D502BD" w:rsidRDefault="00EB448E" w:rsidP="00D5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BD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                                              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С. С. Зайцев</w:t>
            </w:r>
          </w:p>
          <w:p w:rsidR="00EB448E" w:rsidRPr="00D502BD" w:rsidRDefault="00763C79" w:rsidP="00D50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B448E" w:rsidRDefault="00EB448E" w:rsidP="000A7E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48E" w:rsidRPr="000A7E8E" w:rsidRDefault="009E2F46" w:rsidP="00BF7A70">
            <w:pPr>
              <w:tabs>
                <w:tab w:val="left" w:pos="5220"/>
              </w:tabs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 xml:space="preserve">     УТВЕРЖДЕНА</w:t>
            </w:r>
          </w:p>
          <w:p w:rsidR="00EB448E" w:rsidRPr="000A7E8E" w:rsidRDefault="00EB448E" w:rsidP="00BF7A7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</w:t>
            </w:r>
          </w:p>
          <w:p w:rsidR="00EB448E" w:rsidRPr="000A7E8E" w:rsidRDefault="00EB448E" w:rsidP="00BF7A7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</w:p>
          <w:p w:rsidR="00EB448E" w:rsidRPr="000A7E8E" w:rsidRDefault="00EB448E" w:rsidP="00BF7A7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Челно-Вершинский</w:t>
            </w:r>
          </w:p>
          <w:p w:rsidR="00EB448E" w:rsidRPr="000A7E8E" w:rsidRDefault="00EB448E" w:rsidP="00BF7A7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от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57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1F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576A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.2019г. №</w:t>
            </w:r>
            <w:r w:rsidR="00D371F8">
              <w:rPr>
                <w:rFonts w:ascii="Times New Roman" w:hAnsi="Times New Roman" w:cs="Times New Roman"/>
                <w:sz w:val="28"/>
                <w:szCs w:val="28"/>
              </w:rPr>
              <w:t xml:space="preserve"> 54</w:t>
            </w:r>
          </w:p>
          <w:p w:rsidR="00EB448E" w:rsidRPr="000A7E8E" w:rsidRDefault="00EB448E" w:rsidP="00E349A7">
            <w:pPr>
              <w:pStyle w:val="a4"/>
            </w:pPr>
          </w:p>
          <w:p w:rsidR="00EB448E" w:rsidRPr="000A7E8E" w:rsidRDefault="00EB448E" w:rsidP="009E2F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Методика прогнозирования поступлений доходов</w:t>
            </w:r>
            <w:r w:rsidR="009E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в бюджет сельского поселения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63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главным администратором которых является администрация сельского</w:t>
            </w:r>
            <w:r w:rsidR="009E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="00763C79" w:rsidRPr="00D50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Челно-Вершинский Самарской области</w:t>
            </w:r>
          </w:p>
          <w:p w:rsidR="00EB448E" w:rsidRPr="000A7E8E" w:rsidRDefault="00EB448E" w:rsidP="001871A6">
            <w:pPr>
              <w:ind w:firstLine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48E" w:rsidRPr="002576A1" w:rsidRDefault="00EB448E" w:rsidP="00EB448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76A1"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методика разработана в соответствии со статьей 160.1 Бюджетного кодекса Российской Федерации,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и определяет методику прогнозирования поступлений доходов в бюджет сельского поселения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="00763C79" w:rsidRPr="00257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6A1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Челно-Вершинский (далее-бюджет сельского поселения), главным администратором  которых является  администрация сельского</w:t>
            </w:r>
            <w:proofErr w:type="gramEnd"/>
            <w:r w:rsidRPr="002576A1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="00763C79" w:rsidRPr="00257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6A1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Чел</w:t>
            </w:r>
            <w:r w:rsidR="00D371F8">
              <w:rPr>
                <w:rFonts w:ascii="Times New Roman" w:hAnsi="Times New Roman" w:cs="Times New Roman"/>
                <w:sz w:val="28"/>
                <w:szCs w:val="28"/>
              </w:rPr>
              <w:t>но-Вершинский Самарской области</w:t>
            </w:r>
            <w:r w:rsidRPr="002576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448E" w:rsidRPr="000A7E8E" w:rsidRDefault="00EB448E" w:rsidP="00EB448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  <w:r w:rsidR="00763C79" w:rsidRPr="00D502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Челно-Вершинский Самарской области осуществляет полномочия главного администратора в части поступлений доходов в бюджет сельского поселения по перечню согласно приложению к настоящей методике.</w:t>
            </w:r>
          </w:p>
          <w:p w:rsidR="00EB448E" w:rsidRPr="000A7E8E" w:rsidRDefault="00EB448E" w:rsidP="00EB448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Прогнозирование поступлений доходов  в бюджет сельского поселения осуществляется в соответствии со следующими методами расчета:</w:t>
            </w: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а)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объём поступлений прогнозируемого вида доходов;</w:t>
            </w: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б) усреднение - расчет, осуществляемый на основании усреднения годовых объёмов доходов не менее чем за 3 года или за весь период поступления соответствующего вида доходов в случае, если он не превышает 3 года.</w:t>
            </w:r>
          </w:p>
          <w:p w:rsidR="00EB448E" w:rsidRPr="000A7E8E" w:rsidRDefault="00EB448E" w:rsidP="00EB448E">
            <w:pPr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Прогнозирование  поступлений  доходов.</w:t>
            </w: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  <w:r w:rsidR="00D37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государственной пошлины за совершение 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(КБК  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1 08 04020 01 0000 110) осуществляется методом усреднения по формуле:</w:t>
            </w: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88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8pt;height:42pt" o:ole="">
                  <v:imagedata r:id="rId7" o:title=""/>
                </v:shape>
                <o:OLEObject Type="Embed" ProgID="Equation.3" ShapeID="_x0000_i1025" DrawAspect="Content" ObjectID="_1634988663" r:id="rId8"/>
              </w:object>
            </w: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n -количество отчетных периодов (не менее 3-х лет, предшествующих прогнозируемому);</w:t>
            </w: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A7E8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ф</w:t>
            </w:r>
            <w:proofErr w:type="spellEnd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- фактические поступления госпошлины в бюджет сельского поселения в отчетном году.</w:t>
            </w: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В случае отсутствия поступлений в течение всех трех расчетных лет такие доходы не подлежат прогнозированию.</w:t>
            </w:r>
          </w:p>
          <w:p w:rsidR="00EB448E" w:rsidRPr="000A7E8E" w:rsidRDefault="00EB448E" w:rsidP="00187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   Источник данных:</w:t>
            </w:r>
          </w:p>
          <w:p w:rsidR="00EB448E" w:rsidRPr="000A7E8E" w:rsidRDefault="00EB448E" w:rsidP="001871A6">
            <w:pPr>
              <w:ind w:left="31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- отчет об исполнении бюджета сельского поселения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Каменный Брод</w:t>
            </w:r>
          </w:p>
          <w:p w:rsidR="00EB448E" w:rsidRPr="000A7E8E" w:rsidRDefault="00EB448E" w:rsidP="001871A6">
            <w:pPr>
              <w:ind w:left="318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- оценка ожидаемого исполнения доходов в текущем финансовом году.</w:t>
            </w: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Прогнозирование поступлений доходов на плановый период осуществляется в размере, равному объёму поступлений на очередной финансовый год.</w: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Pr="000A7E8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Прогнозирование доходов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(КБК  </w:t>
            </w:r>
            <w:r w:rsidR="0050109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540</w:t>
            </w:r>
            <w:r w:rsidRPr="000A7E8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1 11 05035 10 0000 120) на очередной финансовый год и плановый период осуществляется методом прямого расчета по формуле:</w: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7E8E">
              <w:rPr>
                <w:rFonts w:ascii="Times New Roman" w:hAnsi="Times New Roman" w:cs="Times New Roman"/>
                <w:position w:val="-16"/>
                <w:sz w:val="28"/>
                <w:szCs w:val="28"/>
                <w:lang w:bidi="ru-RU"/>
              </w:rPr>
              <w:object w:dxaOrig="2140" w:dyaOrig="460">
                <v:shape id="_x0000_i1026" type="#_x0000_t75" style="width:128.4pt;height:27pt" o:ole="">
                  <v:imagedata r:id="rId9" o:title=""/>
                </v:shape>
                <o:OLEObject Type="Embed" ProgID="Equation.3" ShapeID="_x0000_i1026" DrawAspect="Content" ObjectID="_1634988664" r:id="rId10"/>
              </w:objec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 - количество договоров, заключенных (планируемые к заключению) с арендаторами;</w: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 - годовой размер арендной платы, установленный договором.</w: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0A7E8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</w:t>
            </w:r>
            <w:r w:rsidRPr="000A7E8E">
              <w:rPr>
                <w:rFonts w:ascii="Times New Roman" w:hAnsi="Times New Roman" w:cs="Times New Roman"/>
                <w:sz w:val="28"/>
                <w:szCs w:val="28"/>
                <w:vertAlign w:val="subscript"/>
                <w:lang w:bidi="ru-RU"/>
              </w:rPr>
              <w:t>з</w:t>
            </w:r>
            <w:proofErr w:type="spellEnd"/>
            <w:r w:rsidRPr="000A7E8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Прогнозируемая сумма поступлений задолженности прошлых лет.</w:t>
            </w:r>
          </w:p>
          <w:p w:rsidR="00CA3CCA" w:rsidRDefault="00EB448E" w:rsidP="00CA3CCA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Источник данных: договоры, заключенные (планируемые к заключению) с арендаторами.</w:t>
            </w:r>
          </w:p>
          <w:p w:rsidR="00EB448E" w:rsidRPr="000A7E8E" w:rsidRDefault="00EB448E" w:rsidP="00CA3CCA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7E8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Прогнозирование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доходов от прочих поступлений от использования имущества, находящегося в собственности поселения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(КБК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111 09045 10 0000 120) </w:t>
            </w:r>
            <w:r w:rsidR="00BF7A70" w:rsidRPr="000A7E8E">
              <w:rPr>
                <w:rFonts w:ascii="Times New Roman" w:hAnsi="Times New Roman" w:cs="Times New Roman"/>
                <w:sz w:val="28"/>
                <w:szCs w:val="28"/>
              </w:rPr>
              <w:t>на очередной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год и плановый период, осуществляется методом прямого расчета и основывается на данных о размере платежей от использования имущества.</w:t>
            </w:r>
            <w:proofErr w:type="gramEnd"/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Источником данных являются договоры, заключенные (планируемые к заключению) по использованию имущества, находящегося в собственности поселения;</w: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Прогнозный объем поступлений данного вида доходов определяется, как сумма платежей по заключенным (планируемым к заключению) договорам по следующему расчету:</w: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ДИпр</w:t>
            </w:r>
            <w:proofErr w:type="spellEnd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= Д1+Д2+Д3+ и </w:t>
            </w:r>
            <w:proofErr w:type="spellStart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ДИпр</w:t>
            </w:r>
            <w:proofErr w:type="spellEnd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– доходы от прочих поступлений от использования имущества, находящегося в собственности поселения;</w: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Д1, Д2, Д3 и т.д. – суммы платежей по заключенным (планируемым к заключению) договорам.</w:t>
            </w:r>
          </w:p>
          <w:p w:rsidR="00EB448E" w:rsidRPr="000A7E8E" w:rsidRDefault="00EB448E" w:rsidP="001871A6">
            <w:pPr>
              <w:ind w:left="318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     4.4. </w:t>
            </w:r>
            <w:proofErr w:type="gramStart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казенных, в части реализации основных средств по указанному имуществу (КБК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114 02053 10 0000 410).</w:t>
            </w:r>
            <w:proofErr w:type="gramEnd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Для расчета прогнозируемого объема данного вида доходов применяется метод прямого расчета. Источником данных является прогнозный план приватизации муниципального имущества на очередной финансовый год и плановый период с учетом сроков проведения торгов. Сумма доходов от реализации имущества, прогнозируемая к поступлению в бюджет 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 в очередном финансовом году, рассчитывается по следующей формуле:</w: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РИ = </w:t>
            </w:r>
            <w:proofErr w:type="spellStart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× Ко</w: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РИ – объем доходов от реализации имущества</w: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- средняя стоимость одного объекта недвижимости, сложившаяся по результатам торгов, проведенных в году, предшествующем расчетному;</w:t>
            </w:r>
          </w:p>
          <w:p w:rsidR="00EB448E" w:rsidRPr="000A7E8E" w:rsidRDefault="00EB448E" w:rsidP="001871A6">
            <w:pPr>
              <w:ind w:left="318" w:firstLine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Ко - количество объектов недвижимости, подлежащих реализации в очередном финансовом году.</w:t>
            </w:r>
          </w:p>
          <w:p w:rsidR="00EB448E" w:rsidRPr="000A7E8E" w:rsidRDefault="00EB448E" w:rsidP="001871A6">
            <w:pPr>
              <w:ind w:left="318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     4.5. Для расчета прогнозируемого объема  доходов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(КБК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1 14 06025 10 0000 430)применяется метод прямого расчета. Источником данных является прогнозный план приватизации муниципального имущества на очередной финансовый год и плановый период с учетом сроков проведения торгов и иных нормативных актов. Расчет прогноза поступления доходов от продажи земельных участков в бюджет поселения производится по следующей формуле:</w:t>
            </w:r>
          </w:p>
          <w:p w:rsidR="00EB448E" w:rsidRPr="000A7E8E" w:rsidRDefault="00EB448E" w:rsidP="001871A6">
            <w:pPr>
              <w:ind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Пзем</w:t>
            </w:r>
            <w:proofErr w:type="spellEnd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A70" w:rsidRPr="000A7E8E">
              <w:rPr>
                <w:rFonts w:ascii="Times New Roman" w:hAnsi="Times New Roman" w:cs="Times New Roman"/>
                <w:sz w:val="28"/>
                <w:szCs w:val="28"/>
              </w:rPr>
              <w:t>= SUM (</w:t>
            </w:r>
            <w:proofErr w:type="spellStart"/>
            <w:r w:rsidR="00BF7A70" w:rsidRPr="000A7E8E">
              <w:rPr>
                <w:rFonts w:ascii="Times New Roman" w:hAnsi="Times New Roman" w:cs="Times New Roman"/>
                <w:sz w:val="28"/>
                <w:szCs w:val="28"/>
              </w:rPr>
              <w:t>СТсj</w:t>
            </w:r>
            <w:proofErr w:type="spellEnd"/>
            <w:r w:rsidR="00BF7A70" w:rsidRPr="000A7E8E">
              <w:rPr>
                <w:rFonts w:ascii="Times New Roman" w:hAnsi="Times New Roman" w:cs="Times New Roman"/>
                <w:sz w:val="28"/>
                <w:szCs w:val="28"/>
              </w:rPr>
              <w:t>) ×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Нс</w:t>
            </w:r>
            <w:proofErr w:type="spellEnd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Пзем</w:t>
            </w:r>
            <w:proofErr w:type="spellEnd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– прогноз поступления доходов от продажи земельных участков в бюджет поселения;</w:t>
            </w: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СТсj</w:t>
            </w:r>
            <w:proofErr w:type="spellEnd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 – цена выкупа земельного участка, находящегося в собственности поселений;</w:t>
            </w: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Нс – норматив отчислений доходов от продажи земельных участков, находящихся в собственности поселений, в бюджет поселения;</w:t>
            </w: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j – количество видов земельных участков, предполагаемых к выкупу в очередном финансовом году.</w:t>
            </w:r>
          </w:p>
          <w:p w:rsidR="00EB448E" w:rsidRPr="000A7E8E" w:rsidRDefault="00EB448E" w:rsidP="001871A6">
            <w:pPr>
              <w:pStyle w:val="a3"/>
              <w:spacing w:before="0" w:beforeAutospacing="0" w:after="0" w:afterAutospacing="0" w:line="276" w:lineRule="auto"/>
              <w:ind w:left="318"/>
              <w:jc w:val="both"/>
              <w:rPr>
                <w:sz w:val="28"/>
                <w:szCs w:val="28"/>
              </w:rPr>
            </w:pPr>
            <w:r w:rsidRPr="000A7E8E">
              <w:rPr>
                <w:sz w:val="28"/>
                <w:szCs w:val="28"/>
              </w:rPr>
              <w:t>4.6.</w:t>
            </w:r>
            <w:r w:rsidR="00D371F8">
              <w:rPr>
                <w:sz w:val="28"/>
                <w:szCs w:val="28"/>
              </w:rPr>
              <w:t xml:space="preserve"> </w:t>
            </w:r>
            <w:r w:rsidRPr="000A7E8E">
              <w:rPr>
                <w:sz w:val="28"/>
                <w:szCs w:val="28"/>
              </w:rPr>
              <w:t xml:space="preserve">К иным доходам, поступление которых не имеет постоянного характера, и прогнозирование по которым не осуществляется, относятся: </w:t>
            </w:r>
          </w:p>
          <w:p w:rsidR="00EB448E" w:rsidRPr="000A7E8E" w:rsidRDefault="00EB448E" w:rsidP="001871A6">
            <w:pPr>
              <w:pStyle w:val="a3"/>
              <w:spacing w:before="0" w:beforeAutospacing="0" w:after="0" w:afterAutospacing="0" w:line="276" w:lineRule="auto"/>
              <w:ind w:left="318"/>
              <w:jc w:val="both"/>
              <w:rPr>
                <w:sz w:val="28"/>
                <w:szCs w:val="28"/>
              </w:rPr>
            </w:pPr>
            <w:r w:rsidRPr="000A7E8E">
              <w:rPr>
                <w:sz w:val="28"/>
                <w:szCs w:val="28"/>
              </w:rPr>
              <w:t xml:space="preserve">-Невыясненные поступления, зачисляемые в бюджеты сельских </w:t>
            </w:r>
            <w:r w:rsidRPr="000A7E8E">
              <w:rPr>
                <w:sz w:val="28"/>
                <w:szCs w:val="28"/>
              </w:rPr>
              <w:lastRenderedPageBreak/>
              <w:t>поселений</w:t>
            </w:r>
            <w:r w:rsidR="00E901C3">
              <w:rPr>
                <w:sz w:val="28"/>
                <w:szCs w:val="28"/>
              </w:rPr>
              <w:t xml:space="preserve"> </w:t>
            </w:r>
            <w:r w:rsidRPr="000A7E8E">
              <w:rPr>
                <w:sz w:val="28"/>
                <w:szCs w:val="28"/>
              </w:rPr>
              <w:t xml:space="preserve"> </w:t>
            </w:r>
            <w:r w:rsidRPr="000A7E8E">
              <w:rPr>
                <w:bCs/>
                <w:sz w:val="28"/>
                <w:szCs w:val="28"/>
              </w:rPr>
              <w:t xml:space="preserve">(КБК </w:t>
            </w:r>
            <w:r w:rsidR="00501092">
              <w:rPr>
                <w:bCs/>
                <w:sz w:val="28"/>
                <w:szCs w:val="28"/>
              </w:rPr>
              <w:t>540</w:t>
            </w:r>
            <w:r w:rsidRPr="000A7E8E">
              <w:rPr>
                <w:bCs/>
                <w:sz w:val="28"/>
                <w:szCs w:val="28"/>
              </w:rPr>
              <w:t xml:space="preserve"> 1 17 01 050 10 0000 180</w:t>
            </w:r>
            <w:r w:rsidRPr="000A7E8E">
              <w:rPr>
                <w:sz w:val="28"/>
                <w:szCs w:val="28"/>
              </w:rPr>
              <w:t>)</w:t>
            </w:r>
          </w:p>
          <w:p w:rsidR="00EB448E" w:rsidRPr="000A7E8E" w:rsidRDefault="00EB448E" w:rsidP="001871A6">
            <w:pPr>
              <w:pStyle w:val="a3"/>
              <w:spacing w:before="0" w:beforeAutospacing="0" w:after="0" w:afterAutospacing="0" w:line="276" w:lineRule="auto"/>
              <w:ind w:left="318"/>
              <w:jc w:val="both"/>
              <w:rPr>
                <w:sz w:val="28"/>
                <w:szCs w:val="28"/>
              </w:rPr>
            </w:pPr>
            <w:r w:rsidRPr="000A7E8E">
              <w:rPr>
                <w:sz w:val="28"/>
                <w:szCs w:val="28"/>
              </w:rPr>
              <w:t xml:space="preserve">-Прочие неналоговые доходы бюджетов сельских поселений </w:t>
            </w:r>
            <w:r w:rsidR="00E901C3">
              <w:rPr>
                <w:sz w:val="28"/>
                <w:szCs w:val="28"/>
              </w:rPr>
              <w:t xml:space="preserve">               </w:t>
            </w:r>
            <w:r w:rsidRPr="000A7E8E">
              <w:rPr>
                <w:sz w:val="28"/>
                <w:szCs w:val="28"/>
              </w:rPr>
              <w:t xml:space="preserve">(КБК </w:t>
            </w:r>
            <w:r w:rsidR="00501092">
              <w:rPr>
                <w:sz w:val="28"/>
                <w:szCs w:val="28"/>
              </w:rPr>
              <w:t>540</w:t>
            </w:r>
            <w:r w:rsidRPr="000A7E8E">
              <w:rPr>
                <w:bCs/>
                <w:sz w:val="28"/>
                <w:szCs w:val="28"/>
              </w:rPr>
              <w:t xml:space="preserve"> 1 17 05 050 10 0000 180)</w:t>
            </w:r>
          </w:p>
          <w:p w:rsidR="00EB448E" w:rsidRPr="000A7E8E" w:rsidRDefault="00EB448E" w:rsidP="001871A6">
            <w:pPr>
              <w:pStyle w:val="a3"/>
              <w:spacing w:before="0" w:beforeAutospacing="0" w:after="0" w:afterAutospacing="0" w:line="276" w:lineRule="auto"/>
              <w:ind w:left="318"/>
              <w:jc w:val="both"/>
              <w:rPr>
                <w:sz w:val="28"/>
                <w:szCs w:val="28"/>
              </w:rPr>
            </w:pPr>
            <w:r w:rsidRPr="000A7E8E">
              <w:rPr>
                <w:sz w:val="28"/>
                <w:szCs w:val="28"/>
              </w:rPr>
              <w:t xml:space="preserve">-Прочие безвозмездные поступления в бюджеты сельских поселений  (КБК </w:t>
            </w:r>
            <w:r w:rsidR="00501092">
              <w:rPr>
                <w:sz w:val="28"/>
                <w:szCs w:val="28"/>
              </w:rPr>
              <w:t>540</w:t>
            </w:r>
            <w:r w:rsidRPr="000A7E8E">
              <w:rPr>
                <w:sz w:val="28"/>
                <w:szCs w:val="28"/>
              </w:rPr>
              <w:t xml:space="preserve"> 2 07 05 030 10 0000 150)</w:t>
            </w:r>
          </w:p>
          <w:p w:rsidR="00EB448E" w:rsidRPr="000A7E8E" w:rsidRDefault="00EB448E" w:rsidP="001871A6">
            <w:pPr>
              <w:pStyle w:val="a3"/>
              <w:spacing w:before="0" w:beforeAutospacing="0" w:after="0" w:afterAutospacing="0" w:line="276" w:lineRule="auto"/>
              <w:ind w:left="318"/>
              <w:jc w:val="both"/>
              <w:rPr>
                <w:sz w:val="28"/>
                <w:szCs w:val="28"/>
              </w:rPr>
            </w:pPr>
            <w:r w:rsidRPr="000A7E8E">
              <w:rPr>
                <w:sz w:val="28"/>
                <w:szCs w:val="28"/>
              </w:rPr>
              <w:t xml:space="preserve">-Перечисления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  <w:r w:rsidR="00E901C3">
              <w:rPr>
                <w:sz w:val="28"/>
                <w:szCs w:val="28"/>
              </w:rPr>
              <w:t xml:space="preserve">                     </w:t>
            </w:r>
            <w:r w:rsidRPr="000A7E8E">
              <w:rPr>
                <w:sz w:val="28"/>
                <w:szCs w:val="28"/>
              </w:rPr>
              <w:t xml:space="preserve"> (КБК </w:t>
            </w:r>
            <w:r w:rsidR="00501092">
              <w:rPr>
                <w:sz w:val="28"/>
                <w:szCs w:val="28"/>
              </w:rPr>
              <w:t>540</w:t>
            </w:r>
            <w:r w:rsidRPr="000A7E8E">
              <w:rPr>
                <w:sz w:val="28"/>
                <w:szCs w:val="28"/>
              </w:rPr>
              <w:t xml:space="preserve"> 2 08 05 000 10 0000 150)</w:t>
            </w:r>
          </w:p>
          <w:p w:rsidR="00EB448E" w:rsidRPr="000A7E8E" w:rsidRDefault="00EB448E" w:rsidP="001871A6">
            <w:pPr>
              <w:pStyle w:val="a3"/>
              <w:spacing w:before="0" w:beforeAutospacing="0" w:after="0" w:afterAutospacing="0" w:line="276" w:lineRule="auto"/>
              <w:ind w:left="318"/>
              <w:jc w:val="both"/>
              <w:rPr>
                <w:sz w:val="28"/>
                <w:szCs w:val="28"/>
              </w:rPr>
            </w:pPr>
            <w:r w:rsidRPr="000A7E8E">
              <w:rPr>
                <w:sz w:val="28"/>
                <w:szCs w:val="28"/>
              </w:rPr>
              <w:t>-Доходы бюджетов сельских поселений от возврата иными организациями остатк</w:t>
            </w:r>
            <w:r w:rsidR="00501092">
              <w:rPr>
                <w:sz w:val="28"/>
                <w:szCs w:val="28"/>
              </w:rPr>
              <w:t>ов субсидий  прошлых лет  (КБК 540</w:t>
            </w:r>
            <w:r w:rsidRPr="000A7E8E">
              <w:rPr>
                <w:sz w:val="28"/>
                <w:szCs w:val="28"/>
              </w:rPr>
              <w:t xml:space="preserve"> 2 18 05 030 10 0000 150)</w:t>
            </w:r>
          </w:p>
          <w:p w:rsidR="00EB448E" w:rsidRPr="000A7E8E" w:rsidRDefault="00EB448E" w:rsidP="001871A6">
            <w:pPr>
              <w:pStyle w:val="a3"/>
              <w:spacing w:before="0" w:beforeAutospacing="0" w:after="0" w:afterAutospacing="0" w:line="276" w:lineRule="auto"/>
              <w:ind w:left="318"/>
              <w:jc w:val="both"/>
              <w:rPr>
                <w:sz w:val="28"/>
                <w:szCs w:val="28"/>
              </w:rPr>
            </w:pPr>
            <w:r w:rsidRPr="000A7E8E">
              <w:rPr>
                <w:sz w:val="28"/>
                <w:szCs w:val="28"/>
              </w:rPr>
              <w:t xml:space="preserve">-Доходы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  <w:r w:rsidR="00E901C3">
              <w:rPr>
                <w:sz w:val="28"/>
                <w:szCs w:val="28"/>
              </w:rPr>
              <w:t xml:space="preserve">        </w:t>
            </w:r>
            <w:r w:rsidRPr="000A7E8E">
              <w:rPr>
                <w:sz w:val="28"/>
                <w:szCs w:val="28"/>
              </w:rPr>
              <w:t xml:space="preserve"> (КБК </w:t>
            </w:r>
            <w:r w:rsidR="00501092">
              <w:rPr>
                <w:sz w:val="28"/>
                <w:szCs w:val="28"/>
              </w:rPr>
              <w:t>540</w:t>
            </w:r>
            <w:r w:rsidRPr="000A7E8E">
              <w:rPr>
                <w:sz w:val="28"/>
                <w:szCs w:val="28"/>
              </w:rPr>
              <w:t xml:space="preserve"> 2 18 60 010 10 0000 150)</w:t>
            </w:r>
          </w:p>
          <w:p w:rsidR="00EB448E" w:rsidRPr="000A7E8E" w:rsidRDefault="00EB448E" w:rsidP="001871A6">
            <w:pPr>
              <w:pStyle w:val="a3"/>
              <w:spacing w:before="0" w:beforeAutospacing="0" w:after="0" w:afterAutospacing="0" w:line="276" w:lineRule="auto"/>
              <w:ind w:left="318"/>
              <w:jc w:val="both"/>
              <w:rPr>
                <w:sz w:val="28"/>
                <w:szCs w:val="28"/>
              </w:rPr>
            </w:pPr>
            <w:r w:rsidRPr="000A7E8E">
              <w:rPr>
                <w:sz w:val="28"/>
                <w:szCs w:val="28"/>
              </w:rPr>
              <w:t xml:space="preserve">-Возврат прочих остатков субсидий, субвенций и иных межбюджетных трансфертов, имеющих целевое назначение, прошлых лет из бюджетов сельских </w:t>
            </w:r>
            <w:r w:rsidR="00BF7A70" w:rsidRPr="000A7E8E">
              <w:rPr>
                <w:sz w:val="28"/>
                <w:szCs w:val="28"/>
              </w:rPr>
              <w:t>поселений (КБК</w:t>
            </w:r>
            <w:r w:rsidRPr="000A7E8E">
              <w:rPr>
                <w:sz w:val="28"/>
                <w:szCs w:val="28"/>
              </w:rPr>
              <w:t xml:space="preserve"> </w:t>
            </w:r>
            <w:r w:rsidR="00501092">
              <w:rPr>
                <w:sz w:val="28"/>
                <w:szCs w:val="28"/>
              </w:rPr>
              <w:t>540</w:t>
            </w:r>
            <w:r w:rsidRPr="000A7E8E">
              <w:rPr>
                <w:sz w:val="28"/>
                <w:szCs w:val="28"/>
              </w:rPr>
              <w:t xml:space="preserve"> 2 19 60 010 10 0000 150)</w:t>
            </w:r>
          </w:p>
          <w:p w:rsidR="00422D1B" w:rsidRDefault="00422D1B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48E" w:rsidRPr="000A7E8E" w:rsidRDefault="00EB448E" w:rsidP="001871A6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  <w:r w:rsidR="00D37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Прогнозный  объем поступлений по группе доходов бюджета сельского поселения КБК </w:t>
            </w:r>
            <w:r w:rsidR="00501092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202000000000000 «Безвозмездные поступления от других бюджетов бюджетной системы Российской Федерации» определяется на основании объема расходов федерального, областного и районного бюджетов, предусмотренных нормативно-правов</w:t>
            </w:r>
            <w:r w:rsidR="00422D1B">
              <w:rPr>
                <w:rFonts w:ascii="Times New Roman" w:hAnsi="Times New Roman" w:cs="Times New Roman"/>
                <w:sz w:val="28"/>
                <w:szCs w:val="28"/>
              </w:rPr>
              <w:t xml:space="preserve">ыми актами Российской Федерации, Самарской области 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Челно-Вершинский  и соглашениями о предоставлении межбюджет</w:t>
            </w:r>
            <w:r w:rsidR="00422D1B">
              <w:rPr>
                <w:rFonts w:ascii="Times New Roman" w:hAnsi="Times New Roman" w:cs="Times New Roman"/>
                <w:sz w:val="28"/>
                <w:szCs w:val="28"/>
              </w:rPr>
              <w:t>ных трансфертов из федерального</w:t>
            </w: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 xml:space="preserve">, областного и районного бюджета.  </w:t>
            </w:r>
            <w:proofErr w:type="gramEnd"/>
          </w:p>
          <w:p w:rsidR="00CA3CCA" w:rsidRDefault="00EB448E" w:rsidP="00763C79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E8E">
              <w:rPr>
                <w:rFonts w:ascii="Times New Roman" w:hAnsi="Times New Roman" w:cs="Times New Roman"/>
                <w:sz w:val="28"/>
                <w:szCs w:val="28"/>
              </w:rPr>
              <w:t>В течение текущего года, в случае увеличения (уменьшения) объемов расходов федерального, областного и районного бюджета на предоставление межбюджетных трансфертов увеличивается (уменьшается) прогнозный объем безвозмездных поступлений из федерального,</w:t>
            </w:r>
            <w:r w:rsidR="00763C7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 и районного бюджета.</w:t>
            </w:r>
          </w:p>
          <w:p w:rsidR="00501092" w:rsidRDefault="00501092" w:rsidP="00763C79">
            <w:pPr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092" w:rsidRPr="00763C79" w:rsidRDefault="00501092" w:rsidP="00763C79">
            <w:pPr>
              <w:ind w:left="31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B448E" w:rsidRPr="00422D1B" w:rsidRDefault="00EB448E" w:rsidP="00CA3CCA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2D1B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CA3CCA" w:rsidRPr="00422D1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22D1B">
              <w:rPr>
                <w:rFonts w:ascii="Times New Roman" w:hAnsi="Times New Roman" w:cs="Times New Roman"/>
                <w:sz w:val="26"/>
                <w:szCs w:val="26"/>
              </w:rPr>
              <w:t xml:space="preserve"> Методике прогнозирования поступлений доходов </w:t>
            </w:r>
          </w:p>
          <w:p w:rsidR="00EB448E" w:rsidRPr="00422D1B" w:rsidRDefault="00EB448E" w:rsidP="00800EF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2D1B">
              <w:rPr>
                <w:rFonts w:ascii="Times New Roman" w:hAnsi="Times New Roman" w:cs="Times New Roman"/>
                <w:sz w:val="26"/>
                <w:szCs w:val="26"/>
              </w:rPr>
              <w:t xml:space="preserve">в бюджет сельского поселения </w:t>
            </w:r>
            <w:r w:rsidR="00501092">
              <w:rPr>
                <w:rFonts w:ascii="Times New Roman" w:hAnsi="Times New Roman" w:cs="Times New Roman"/>
                <w:sz w:val="26"/>
                <w:szCs w:val="26"/>
              </w:rPr>
              <w:t>Каменный Брод</w:t>
            </w:r>
            <w:r w:rsidRPr="00422D1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63C79" w:rsidRPr="00422D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2D1B">
              <w:rPr>
                <w:rFonts w:ascii="Times New Roman" w:hAnsi="Times New Roman" w:cs="Times New Roman"/>
                <w:sz w:val="26"/>
                <w:szCs w:val="26"/>
              </w:rPr>
              <w:t>главным администратором которых является</w:t>
            </w:r>
            <w:r w:rsidR="00763C79" w:rsidRPr="00422D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2D1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сельского  поселения </w:t>
            </w:r>
            <w:r w:rsidR="00D371F8">
              <w:rPr>
                <w:rFonts w:ascii="Times New Roman" w:hAnsi="Times New Roman" w:cs="Times New Roman"/>
                <w:sz w:val="26"/>
                <w:szCs w:val="26"/>
              </w:rPr>
              <w:t>Каменный Брод</w:t>
            </w:r>
          </w:p>
          <w:p w:rsidR="00EB448E" w:rsidRPr="00422D1B" w:rsidRDefault="00EB448E" w:rsidP="00800EF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2D1B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 Челно-Вершинский Самарской области</w:t>
            </w:r>
          </w:p>
          <w:p w:rsidR="00EB448E" w:rsidRPr="00422D1B" w:rsidRDefault="00EB448E" w:rsidP="00800EF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2D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448E" w:rsidRPr="00422D1B" w:rsidRDefault="00EB448E" w:rsidP="00763C79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D1B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кодов доходов, администрируемых администрацией</w:t>
            </w:r>
          </w:p>
          <w:p w:rsidR="00EB448E" w:rsidRPr="00422D1B" w:rsidRDefault="00EB448E" w:rsidP="00763C79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D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сельского поселения </w:t>
            </w:r>
            <w:r w:rsidR="00501092">
              <w:rPr>
                <w:rFonts w:ascii="Times New Roman" w:hAnsi="Times New Roman" w:cs="Times New Roman"/>
                <w:b/>
                <w:sz w:val="26"/>
                <w:szCs w:val="26"/>
              </w:rPr>
              <w:t>Каменный Брод</w:t>
            </w:r>
            <w:r w:rsidR="00763C79" w:rsidRPr="00422D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2D1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</w:p>
          <w:p w:rsidR="00EB448E" w:rsidRPr="00422D1B" w:rsidRDefault="00EB448E" w:rsidP="00763C79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22D1B">
              <w:rPr>
                <w:rFonts w:ascii="Times New Roman" w:hAnsi="Times New Roman" w:cs="Times New Roman"/>
                <w:b/>
                <w:sz w:val="26"/>
                <w:szCs w:val="26"/>
              </w:rPr>
              <w:t>Челно-Вершинский Самарской области</w:t>
            </w:r>
          </w:p>
          <w:p w:rsidR="00EB448E" w:rsidRPr="00422D1B" w:rsidRDefault="00EB448E" w:rsidP="00800EFE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W w:w="8960" w:type="dxa"/>
              <w:tblInd w:w="314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412"/>
              <w:gridCol w:w="5548"/>
            </w:tblGrid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Код доходов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Наименование 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8712FD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1 08 04 020 01 0000 110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8712FD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1 11 05 035 10 0000 120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Доходы от сдачи в аренду имущества, 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8712FD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1 11 09 045 10 0000 120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Прочие поступления от использования </w:t>
                  </w:r>
                  <w:r w:rsidR="00BF7A70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имущества, находящегося</w:t>
                  </w: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      </w:r>
                </w:p>
              </w:tc>
            </w:tr>
            <w:tr w:rsidR="00EB448E" w:rsidRPr="00422D1B" w:rsidTr="00BF7A70">
              <w:trPr>
                <w:trHeight w:val="396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448E" w:rsidRPr="00422D1B" w:rsidRDefault="00501092" w:rsidP="00501092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1 14 02 053 10 0000 410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      </w:r>
                  <w:r w:rsidR="00BF7A70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казенных,</w:t>
                  </w: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 части реализации основных средств по указанному имуществу</w:t>
                  </w:r>
                </w:p>
              </w:tc>
            </w:tr>
            <w:tr w:rsidR="00EB448E" w:rsidRPr="00422D1B" w:rsidTr="00BF7A70">
              <w:trPr>
                <w:trHeight w:val="97"/>
              </w:trPr>
              <w:tc>
                <w:tcPr>
                  <w:tcW w:w="3412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8712FD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1 14 06 025 10 0000 430</w:t>
                  </w:r>
                </w:p>
              </w:tc>
              <w:tc>
                <w:tcPr>
                  <w:tcW w:w="554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учреждений).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8712FD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1 17 01 050 10 0000 180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Невыясненные поступления, зачисляемые в бюджеты сельских поселений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8712FD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1 17 05 050 10 0000 180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Прочие неналоговые доходы бюджетов сельских поселений</w:t>
                  </w:r>
                </w:p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501092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2 02 15 001 10 0000 150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Дотации бюджетам сельских поселений на выравнивание  бюджетной обеспеченности</w:t>
                  </w:r>
                </w:p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8712FD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2 02 19 999 10 0000 150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Прочие дотации бюджетам сельских поселений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501092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 2</w:t>
                  </w:r>
                  <w:r w:rsidR="00D371F8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02 20 041 10 0000 150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 автомобильных дорог федерального значения)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8712FD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2 02 29 999 10 0000 150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Прочие субсидии бюджетам сельских поселений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8712FD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2 02 35 118 10 0000 150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501092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2 02 40 014 10 0000 150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8712FD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2 07 05 030 10 0000 150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Прочие безвозмездные поступления в бюджеты сельских поселений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501092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2 08 05 000 10 0000 150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501092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2 18 05 030 10 0000 150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Доходы бюджетов сельских поселений от возврата иными организациями остатков субсидий  прошлых лет 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8712FD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2 18 60 010 10 0000 150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      </w:r>
                </w:p>
              </w:tc>
            </w:tr>
            <w:tr w:rsidR="00EB448E" w:rsidRPr="00422D1B" w:rsidTr="00BF7A70">
              <w:trPr>
                <w:trHeight w:val="122"/>
              </w:trPr>
              <w:tc>
                <w:tcPr>
                  <w:tcW w:w="34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501092" w:rsidP="00501092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540</w:t>
                  </w:r>
                  <w:r w:rsidR="00EB448E"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2 19 60 010 10 0000 150</w:t>
                  </w:r>
                </w:p>
              </w:tc>
              <w:tc>
                <w:tcPr>
                  <w:tcW w:w="554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B448E" w:rsidRPr="00422D1B" w:rsidRDefault="00EB448E" w:rsidP="00800EFE">
                  <w:pPr>
                    <w:pStyle w:val="a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22D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</w:tr>
          </w:tbl>
          <w:p w:rsidR="00EB448E" w:rsidRPr="00851801" w:rsidRDefault="00EB448E" w:rsidP="001871A6">
            <w:pPr>
              <w:tabs>
                <w:tab w:val="left" w:pos="6945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654EF7" w:rsidRPr="00851801" w:rsidTr="00AD7B64">
        <w:trPr>
          <w:trHeight w:val="9617"/>
        </w:trPr>
        <w:tc>
          <w:tcPr>
            <w:tcW w:w="9498" w:type="dxa"/>
            <w:gridSpan w:val="2"/>
          </w:tcPr>
          <w:p w:rsidR="00654EF7" w:rsidRPr="00851801" w:rsidRDefault="00654EF7" w:rsidP="001871A6">
            <w:pPr>
              <w:rPr>
                <w:sz w:val="28"/>
                <w:szCs w:val="28"/>
              </w:rPr>
            </w:pPr>
          </w:p>
        </w:tc>
      </w:tr>
      <w:tr w:rsidR="00654EF7" w:rsidRPr="00851801" w:rsidTr="00AD7B64">
        <w:trPr>
          <w:trHeight w:val="9617"/>
        </w:trPr>
        <w:tc>
          <w:tcPr>
            <w:tcW w:w="9498" w:type="dxa"/>
            <w:gridSpan w:val="2"/>
          </w:tcPr>
          <w:p w:rsidR="00BF7A70" w:rsidRPr="00851801" w:rsidRDefault="00BF7A70" w:rsidP="001871A6">
            <w:pPr>
              <w:rPr>
                <w:sz w:val="28"/>
                <w:szCs w:val="28"/>
              </w:rPr>
            </w:pPr>
          </w:p>
        </w:tc>
      </w:tr>
    </w:tbl>
    <w:p w:rsidR="00541BB8" w:rsidRPr="00BF7A70" w:rsidRDefault="00EB448E">
      <w:pPr>
        <w:rPr>
          <w:b/>
        </w:rPr>
      </w:pPr>
      <w:r w:rsidRPr="00851801">
        <w:rPr>
          <w:b/>
          <w:sz w:val="28"/>
          <w:szCs w:val="28"/>
        </w:rPr>
        <w:t xml:space="preserve">                                                                                 </w:t>
      </w:r>
      <w:r>
        <w:rPr>
          <w:b/>
        </w:rPr>
        <w:t xml:space="preserve">    </w:t>
      </w:r>
      <w:r w:rsidR="00BF7A70">
        <w:rPr>
          <w:b/>
        </w:rPr>
        <w:t xml:space="preserve">                        </w:t>
      </w:r>
    </w:p>
    <w:sectPr w:rsidR="00541BB8" w:rsidRPr="00BF7A70" w:rsidSect="00A424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23CB9"/>
    <w:multiLevelType w:val="hybridMultilevel"/>
    <w:tmpl w:val="6CAEA712"/>
    <w:lvl w:ilvl="0" w:tplc="7258F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8E"/>
    <w:rsid w:val="00072CB6"/>
    <w:rsid w:val="000A7E8E"/>
    <w:rsid w:val="000F7888"/>
    <w:rsid w:val="001344E8"/>
    <w:rsid w:val="002576A1"/>
    <w:rsid w:val="00422D1B"/>
    <w:rsid w:val="004563FA"/>
    <w:rsid w:val="00501092"/>
    <w:rsid w:val="00541BB8"/>
    <w:rsid w:val="005744F9"/>
    <w:rsid w:val="00584EA0"/>
    <w:rsid w:val="005C471D"/>
    <w:rsid w:val="005D1AB1"/>
    <w:rsid w:val="00654EF7"/>
    <w:rsid w:val="00763C79"/>
    <w:rsid w:val="00800EFE"/>
    <w:rsid w:val="008712FD"/>
    <w:rsid w:val="008C4332"/>
    <w:rsid w:val="009E2F46"/>
    <w:rsid w:val="00A23087"/>
    <w:rsid w:val="00AD7B64"/>
    <w:rsid w:val="00BF7A70"/>
    <w:rsid w:val="00CA3CCA"/>
    <w:rsid w:val="00D371F8"/>
    <w:rsid w:val="00D502BD"/>
    <w:rsid w:val="00D67B46"/>
    <w:rsid w:val="00E349A7"/>
    <w:rsid w:val="00E901C3"/>
    <w:rsid w:val="00EB448E"/>
    <w:rsid w:val="00EE73C0"/>
    <w:rsid w:val="00F37BEB"/>
    <w:rsid w:val="00FC2D2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4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EB44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PlusNormal">
    <w:name w:val="ConsPlusNormal"/>
    <w:rsid w:val="00EB4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rmal (Web)"/>
    <w:basedOn w:val="a"/>
    <w:uiPriority w:val="99"/>
    <w:unhideWhenUsed/>
    <w:rsid w:val="00EB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A7E8E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A2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0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4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EB44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onsPlusNormal">
    <w:name w:val="ConsPlusNormal"/>
    <w:rsid w:val="00EB44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rmal (Web)"/>
    <w:basedOn w:val="a"/>
    <w:uiPriority w:val="99"/>
    <w:unhideWhenUsed/>
    <w:rsid w:val="00EB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A7E8E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A23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0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92CE1-C8FB-4462-87A1-55A1DDF2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KAMBROD</cp:lastModifiedBy>
  <cp:revision>8</cp:revision>
  <cp:lastPrinted>2019-10-23T04:45:00Z</cp:lastPrinted>
  <dcterms:created xsi:type="dcterms:W3CDTF">2019-10-22T12:27:00Z</dcterms:created>
  <dcterms:modified xsi:type="dcterms:W3CDTF">2019-11-11T10:44:00Z</dcterms:modified>
</cp:coreProperties>
</file>