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44" w:type="dxa"/>
        <w:tblLook w:val="01E0" w:firstRow="1" w:lastRow="1" w:firstColumn="1" w:lastColumn="1" w:noHBand="0" w:noVBand="0"/>
      </w:tblPr>
      <w:tblGrid>
        <w:gridCol w:w="4644"/>
      </w:tblGrid>
      <w:tr w:rsidR="00AB5FDE" w:rsidTr="00AB5FDE">
        <w:trPr>
          <w:trHeight w:val="3277"/>
        </w:trPr>
        <w:tc>
          <w:tcPr>
            <w:tcW w:w="4644" w:type="dxa"/>
          </w:tcPr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КАМЕННЫЙ БРОД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МУНИЦИПАЛЬНОГО РАЙОНА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ЧЕЛНО-ВЕРШИНСКИЙ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САМАРСКОЙ ОБЛАСТИ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AB5FDE" w:rsidRDefault="00AB5FDE">
            <w:pPr>
              <w:jc w:val="center"/>
              <w:rPr>
                <w:b/>
                <w:sz w:val="28"/>
                <w:szCs w:val="28"/>
              </w:rPr>
            </w:pPr>
          </w:p>
          <w:p w:rsidR="00AB5FDE" w:rsidRDefault="00AB5FD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13 октября 2023 г. № 56 </w:t>
            </w:r>
          </w:p>
        </w:tc>
      </w:tr>
    </w:tbl>
    <w:p w:rsidR="00AB5FDE" w:rsidRDefault="00AB5FDE" w:rsidP="00AB5FDE">
      <w:pPr>
        <w:rPr>
          <w:b/>
        </w:rPr>
      </w:pPr>
      <w:r>
        <w:rPr>
          <w:b/>
        </w:rPr>
        <w:t xml:space="preserve">                                                             </w:t>
      </w:r>
    </w:p>
    <w:p w:rsidR="00AB5FDE" w:rsidRDefault="00AB5FDE" w:rsidP="00AB5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Об утверждении </w:t>
      </w:r>
      <w:r>
        <w:rPr>
          <w:bCs/>
          <w:sz w:val="28"/>
          <w:szCs w:val="28"/>
        </w:rPr>
        <w:t xml:space="preserve">прогноза основных характеристик консолидированного бюджета сельского поселения Каменный Брод </w:t>
      </w:r>
      <w:r>
        <w:rPr>
          <w:sz w:val="28"/>
          <w:szCs w:val="28"/>
        </w:rPr>
        <w:t>муниципального района</w:t>
      </w:r>
    </w:p>
    <w:p w:rsidR="00AB5FDE" w:rsidRDefault="00AB5FDE" w:rsidP="00AB5FD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</w:t>
      </w:r>
      <w:r>
        <w:rPr>
          <w:bCs/>
          <w:sz w:val="28"/>
          <w:szCs w:val="28"/>
        </w:rPr>
        <w:t>на 2024-2026 годы.</w:t>
      </w:r>
    </w:p>
    <w:p w:rsidR="00AB5FDE" w:rsidRDefault="00AB5FDE" w:rsidP="00AB5FDE">
      <w:pPr>
        <w:rPr>
          <w:b/>
          <w:sz w:val="28"/>
          <w:szCs w:val="28"/>
        </w:rPr>
      </w:pPr>
    </w:p>
    <w:p w:rsidR="00AB5FDE" w:rsidRDefault="00AB5FDE" w:rsidP="00AB5FDE">
      <w:pPr>
        <w:rPr>
          <w:b/>
          <w:sz w:val="28"/>
          <w:szCs w:val="28"/>
        </w:rPr>
      </w:pPr>
    </w:p>
    <w:p w:rsidR="00AB5FDE" w:rsidRDefault="00AB5FDE" w:rsidP="00AB5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    В соответствии со статьей 173 Бюджетного кодекса Российской Федерации, «Положением о бюджетном процессе в сельском поселении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области», утвержденным решением собрания представителей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от </w:t>
      </w:r>
      <w:r>
        <w:rPr>
          <w:sz w:val="28"/>
        </w:rPr>
        <w:t>12.12.2016 г. №41 (внесенными изменениями от 20.01.2021 г. № 17), а также в целях разработки проекта бюджета сельского поселения Каменный Брод на 2024 г. и на плановый период 2025-2026 годы</w:t>
      </w:r>
      <w:r>
        <w:rPr>
          <w:sz w:val="28"/>
          <w:szCs w:val="28"/>
        </w:rPr>
        <w:t xml:space="preserve">, администрация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</w:t>
      </w:r>
    </w:p>
    <w:p w:rsidR="00AB5FDE" w:rsidRDefault="00AB5FDE" w:rsidP="00AB5FDE">
      <w:pPr>
        <w:jc w:val="both"/>
        <w:rPr>
          <w:sz w:val="28"/>
          <w:szCs w:val="28"/>
        </w:rPr>
      </w:pPr>
    </w:p>
    <w:p w:rsidR="00AB5FDE" w:rsidRDefault="00AB5FDE" w:rsidP="00AB5FDE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 </w:t>
      </w:r>
    </w:p>
    <w:p w:rsidR="00AB5FDE" w:rsidRDefault="00AB5FDE" w:rsidP="00AB5FDE">
      <w:pPr>
        <w:jc w:val="center"/>
        <w:rPr>
          <w:sz w:val="28"/>
          <w:szCs w:val="28"/>
        </w:rPr>
      </w:pPr>
    </w:p>
    <w:p w:rsidR="00AB5FDE" w:rsidRDefault="00AB5FDE" w:rsidP="00AB5FD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 xml:space="preserve">прогноз основных характеристик консолидированного бюджета сельского поселения Каменный Брод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</w:t>
      </w:r>
      <w:r>
        <w:rPr>
          <w:bCs/>
          <w:sz w:val="28"/>
          <w:szCs w:val="28"/>
        </w:rPr>
        <w:t>на 2024-2026 годы (приложение 1).</w:t>
      </w:r>
    </w:p>
    <w:p w:rsidR="00AB5FDE" w:rsidRDefault="00AB5FDE" w:rsidP="00AB5FDE">
      <w:pPr>
        <w:jc w:val="both"/>
        <w:rPr>
          <w:sz w:val="28"/>
          <w:szCs w:val="28"/>
        </w:rPr>
      </w:pPr>
      <w:r>
        <w:rPr>
          <w:sz w:val="28"/>
          <w:szCs w:val="28"/>
        </w:rPr>
        <w:t>2. Должностным лицам ответственным за составление и исполнение бюджета сельского поселения Каменный Брод, при разработке проекта бюджета сельского поселения Каменный Брод на 2024 г. и плановый период 2025-2026 годы обеспечить соблюдение Прогноза основных характеристик консолидированного бюджета сельского поселения Каменный Брод на 2024 г. и на плановый период 2025-2026 гг.</w:t>
      </w:r>
    </w:p>
    <w:p w:rsidR="00AB5FDE" w:rsidRDefault="00AB5FDE" w:rsidP="00AB5F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Опубликовать настоящее постановление на официальном сайте администрации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области.</w:t>
      </w:r>
    </w:p>
    <w:p w:rsidR="00AB5FDE" w:rsidRDefault="00AB5FDE" w:rsidP="00AB5FDE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постановления оставляю за собой.</w:t>
      </w:r>
      <w:r>
        <w:rPr>
          <w:sz w:val="28"/>
          <w:szCs w:val="28"/>
        </w:rPr>
        <w:br/>
      </w:r>
    </w:p>
    <w:p w:rsidR="00AB5FDE" w:rsidRDefault="00AB5FDE" w:rsidP="00AB5FDE">
      <w:pPr>
        <w:jc w:val="center"/>
        <w:rPr>
          <w:sz w:val="28"/>
          <w:szCs w:val="28"/>
        </w:rPr>
      </w:pPr>
    </w:p>
    <w:p w:rsidR="00AB5FDE" w:rsidRDefault="00AB5FDE" w:rsidP="00AB5FD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сельского поселения                                                    С.С. Зайцев</w:t>
      </w:r>
    </w:p>
    <w:p w:rsidR="00AB5FDE" w:rsidRDefault="00AB5FDE" w:rsidP="00AB5FDE">
      <w:pPr>
        <w:pStyle w:val="3"/>
        <w:ind w:firstLine="360"/>
        <w:jc w:val="right"/>
        <w:rPr>
          <w:b w:val="0"/>
          <w:i w:val="0"/>
          <w:sz w:val="24"/>
          <w:szCs w:val="24"/>
          <w:lang w:val="ru-RU"/>
        </w:rPr>
      </w:pPr>
    </w:p>
    <w:p w:rsidR="00AB5FDE" w:rsidRDefault="00AB5FDE" w:rsidP="00AB5FDE">
      <w:pPr>
        <w:pStyle w:val="3"/>
        <w:ind w:firstLine="360"/>
        <w:jc w:val="right"/>
        <w:rPr>
          <w:b w:val="0"/>
          <w:i w:val="0"/>
          <w:sz w:val="24"/>
          <w:szCs w:val="24"/>
          <w:lang w:val="ru-RU"/>
        </w:rPr>
      </w:pPr>
    </w:p>
    <w:p w:rsidR="00AB5FDE" w:rsidRDefault="00AB5FDE" w:rsidP="00AB5FDE">
      <w:pPr>
        <w:pStyle w:val="3"/>
        <w:ind w:firstLine="360"/>
        <w:jc w:val="right"/>
        <w:rPr>
          <w:b w:val="0"/>
          <w:i w:val="0"/>
          <w:sz w:val="24"/>
          <w:szCs w:val="24"/>
          <w:lang w:val="ru-RU"/>
        </w:rPr>
      </w:pPr>
    </w:p>
    <w:p w:rsidR="00AB5FDE" w:rsidRDefault="00AB5FDE" w:rsidP="00AB5FDE">
      <w:pPr>
        <w:pStyle w:val="3"/>
        <w:ind w:firstLine="360"/>
        <w:jc w:val="right"/>
        <w:rPr>
          <w:b w:val="0"/>
          <w:i w:val="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Приложение 1</w:t>
      </w:r>
    </w:p>
    <w:p w:rsidR="00AB5FDE" w:rsidRDefault="00AB5FDE" w:rsidP="00AB5FDE">
      <w:pPr>
        <w:pStyle w:val="3"/>
        <w:ind w:firstLine="360"/>
        <w:jc w:val="right"/>
        <w:rPr>
          <w:b w:val="0"/>
          <w:i w:val="0"/>
          <w:color w:val="000000"/>
          <w:sz w:val="24"/>
          <w:szCs w:val="24"/>
          <w:lang w:val="ru-RU"/>
        </w:rPr>
      </w:pPr>
      <w:r>
        <w:rPr>
          <w:b w:val="0"/>
          <w:i w:val="0"/>
          <w:sz w:val="24"/>
          <w:szCs w:val="24"/>
          <w:lang w:val="ru-RU"/>
        </w:rPr>
        <w:t>к постановлению № 56</w:t>
      </w:r>
      <w:r>
        <w:rPr>
          <w:b w:val="0"/>
          <w:i w:val="0"/>
          <w:color w:val="000000"/>
          <w:sz w:val="24"/>
          <w:szCs w:val="24"/>
          <w:lang w:val="ru-RU"/>
        </w:rPr>
        <w:t xml:space="preserve"> от 13.10.2023 г.</w:t>
      </w:r>
    </w:p>
    <w:p w:rsidR="00AB5FDE" w:rsidRDefault="00AB5FDE" w:rsidP="00AB5FDE">
      <w:pPr>
        <w:pStyle w:val="3"/>
        <w:ind w:firstLine="360"/>
        <w:rPr>
          <w:i w:val="0"/>
          <w:szCs w:val="28"/>
        </w:rPr>
      </w:pPr>
      <w:r>
        <w:rPr>
          <w:i w:val="0"/>
          <w:szCs w:val="28"/>
        </w:rPr>
        <w:t>Прогноз основных характеристик консолидированного бюджет</w:t>
      </w:r>
      <w:r>
        <w:rPr>
          <w:i w:val="0"/>
          <w:szCs w:val="28"/>
          <w:lang w:val="ru-RU"/>
        </w:rPr>
        <w:t>а сельского поселения Каменный Брод</w:t>
      </w:r>
      <w:r>
        <w:rPr>
          <w:i w:val="0"/>
          <w:szCs w:val="28"/>
        </w:rPr>
        <w:t xml:space="preserve"> муниципального района </w:t>
      </w:r>
      <w:proofErr w:type="spellStart"/>
      <w:r>
        <w:rPr>
          <w:i w:val="0"/>
          <w:szCs w:val="28"/>
        </w:rPr>
        <w:t>Челно-Вершинский</w:t>
      </w:r>
      <w:proofErr w:type="spellEnd"/>
      <w:r>
        <w:rPr>
          <w:i w:val="0"/>
          <w:szCs w:val="28"/>
        </w:rPr>
        <w:t xml:space="preserve"> </w:t>
      </w:r>
      <w:r>
        <w:rPr>
          <w:i w:val="0"/>
          <w:szCs w:val="28"/>
          <w:lang w:val="ru-RU"/>
        </w:rPr>
        <w:t xml:space="preserve">Самарской области </w:t>
      </w:r>
      <w:r>
        <w:rPr>
          <w:i w:val="0"/>
          <w:szCs w:val="28"/>
        </w:rPr>
        <w:t>на период 20</w:t>
      </w:r>
      <w:r>
        <w:rPr>
          <w:i w:val="0"/>
          <w:szCs w:val="28"/>
          <w:lang w:val="ru-RU"/>
        </w:rPr>
        <w:t>24</w:t>
      </w:r>
      <w:r>
        <w:rPr>
          <w:i w:val="0"/>
          <w:szCs w:val="28"/>
        </w:rPr>
        <w:t>-20</w:t>
      </w:r>
      <w:r>
        <w:rPr>
          <w:i w:val="0"/>
          <w:szCs w:val="28"/>
          <w:lang w:val="ru-RU"/>
        </w:rPr>
        <w:t>26</w:t>
      </w:r>
      <w:r>
        <w:rPr>
          <w:i w:val="0"/>
          <w:szCs w:val="28"/>
        </w:rPr>
        <w:t xml:space="preserve"> гг.</w:t>
      </w:r>
    </w:p>
    <w:p w:rsidR="00AB5FDE" w:rsidRDefault="00AB5FDE" w:rsidP="00AB5FDE">
      <w:pPr>
        <w:pStyle w:val="3"/>
        <w:ind w:firstLine="36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Налоговая политика </w:t>
      </w:r>
      <w:r>
        <w:rPr>
          <w:b w:val="0"/>
          <w:i w:val="0"/>
          <w:szCs w:val="28"/>
          <w:lang w:val="ru-RU"/>
        </w:rPr>
        <w:t xml:space="preserve">сельского поселения </w:t>
      </w:r>
      <w:r>
        <w:rPr>
          <w:b w:val="0"/>
          <w:i w:val="0"/>
          <w:szCs w:val="28"/>
        </w:rPr>
        <w:t>в первую очередь направлена на обеспечение бюджетными ресурсами, необходимыми для выполнения всех бюджетных обязательств, возложенных</w:t>
      </w:r>
      <w:r>
        <w:rPr>
          <w:b w:val="0"/>
          <w:i w:val="0"/>
          <w:szCs w:val="28"/>
          <w:lang w:val="ru-RU"/>
        </w:rPr>
        <w:t xml:space="preserve"> </w:t>
      </w:r>
      <w:r>
        <w:rPr>
          <w:b w:val="0"/>
          <w:i w:val="0"/>
          <w:szCs w:val="28"/>
        </w:rPr>
        <w:t>на органы местного самоуправления.</w:t>
      </w:r>
    </w:p>
    <w:p w:rsidR="00AB5FDE" w:rsidRDefault="00AB5FDE" w:rsidP="00AB5FDE">
      <w:pPr>
        <w:pStyle w:val="3"/>
        <w:ind w:firstLine="36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 xml:space="preserve">Основные направления налоговой политики  определяют параметры доходов консолидированного бюджета </w:t>
      </w:r>
      <w:r>
        <w:rPr>
          <w:b w:val="0"/>
          <w:i w:val="0"/>
          <w:szCs w:val="28"/>
          <w:lang w:val="ru-RU"/>
        </w:rPr>
        <w:t>сельского поселения</w:t>
      </w:r>
      <w:r>
        <w:rPr>
          <w:b w:val="0"/>
          <w:i w:val="0"/>
          <w:szCs w:val="28"/>
        </w:rPr>
        <w:t xml:space="preserve"> на 20</w:t>
      </w:r>
      <w:r>
        <w:rPr>
          <w:b w:val="0"/>
          <w:i w:val="0"/>
          <w:szCs w:val="28"/>
          <w:lang w:val="ru-RU"/>
        </w:rPr>
        <w:t>24</w:t>
      </w:r>
      <w:r>
        <w:rPr>
          <w:b w:val="0"/>
          <w:i w:val="0"/>
          <w:szCs w:val="28"/>
        </w:rPr>
        <w:t>-20</w:t>
      </w:r>
      <w:r>
        <w:rPr>
          <w:b w:val="0"/>
          <w:i w:val="0"/>
          <w:szCs w:val="28"/>
          <w:lang w:val="ru-RU"/>
        </w:rPr>
        <w:t>26</w:t>
      </w:r>
      <w:r>
        <w:rPr>
          <w:b w:val="0"/>
          <w:i w:val="0"/>
          <w:szCs w:val="28"/>
        </w:rPr>
        <w:t xml:space="preserve"> годы.</w:t>
      </w:r>
    </w:p>
    <w:p w:rsidR="00AB5FDE" w:rsidRDefault="00AB5FDE" w:rsidP="00AB5FDE">
      <w:pPr>
        <w:pStyle w:val="3"/>
        <w:ind w:firstLine="36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  <w:lang w:val="ru-RU"/>
        </w:rPr>
        <w:t>Сельское поселение Каменный Брод м</w:t>
      </w:r>
      <w:r>
        <w:rPr>
          <w:b w:val="0"/>
          <w:i w:val="0"/>
          <w:szCs w:val="28"/>
        </w:rPr>
        <w:t>муниципаль</w:t>
      </w:r>
      <w:r>
        <w:rPr>
          <w:b w:val="0"/>
          <w:i w:val="0"/>
          <w:szCs w:val="28"/>
          <w:lang w:val="ru-RU"/>
        </w:rPr>
        <w:t>ного</w:t>
      </w:r>
      <w:r>
        <w:rPr>
          <w:b w:val="0"/>
          <w:i w:val="0"/>
          <w:szCs w:val="28"/>
        </w:rPr>
        <w:t xml:space="preserve"> район</w:t>
      </w:r>
      <w:r>
        <w:rPr>
          <w:b w:val="0"/>
          <w:i w:val="0"/>
          <w:szCs w:val="28"/>
          <w:lang w:val="ru-RU"/>
        </w:rPr>
        <w:t>а</w:t>
      </w:r>
      <w:r>
        <w:rPr>
          <w:b w:val="0"/>
          <w:i w:val="0"/>
          <w:szCs w:val="28"/>
        </w:rPr>
        <w:t xml:space="preserve"> </w:t>
      </w:r>
      <w:proofErr w:type="spellStart"/>
      <w:r>
        <w:rPr>
          <w:b w:val="0"/>
          <w:i w:val="0"/>
          <w:szCs w:val="28"/>
        </w:rPr>
        <w:t>Челно-Вершинский</w:t>
      </w:r>
      <w:proofErr w:type="spellEnd"/>
      <w:r>
        <w:rPr>
          <w:b w:val="0"/>
          <w:i w:val="0"/>
          <w:szCs w:val="28"/>
        </w:rPr>
        <w:t xml:space="preserve"> является дотационным </w:t>
      </w:r>
      <w:r>
        <w:rPr>
          <w:b w:val="0"/>
          <w:i w:val="0"/>
          <w:szCs w:val="28"/>
          <w:lang w:val="ru-RU"/>
        </w:rPr>
        <w:t>поселением</w:t>
      </w:r>
      <w:r>
        <w:rPr>
          <w:b w:val="0"/>
          <w:i w:val="0"/>
          <w:szCs w:val="28"/>
        </w:rPr>
        <w:t>.</w:t>
      </w:r>
    </w:p>
    <w:p w:rsidR="00AB5FDE" w:rsidRDefault="00AB5FDE" w:rsidP="00AB5FDE">
      <w:pPr>
        <w:pStyle w:val="3"/>
        <w:ind w:firstLine="360"/>
        <w:jc w:val="both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С учетом факторов, влияющих на поступление доходов, потенциал собственных налоговых и неналоговых доходов на 202</w:t>
      </w:r>
      <w:r>
        <w:rPr>
          <w:b w:val="0"/>
          <w:i w:val="0"/>
          <w:szCs w:val="28"/>
          <w:lang w:val="ru-RU"/>
        </w:rPr>
        <w:t>2</w:t>
      </w:r>
      <w:r>
        <w:rPr>
          <w:b w:val="0"/>
          <w:i w:val="0"/>
          <w:szCs w:val="28"/>
        </w:rPr>
        <w:t xml:space="preserve"> год определен в сумме</w:t>
      </w:r>
      <w:r>
        <w:rPr>
          <w:b w:val="0"/>
          <w:i w:val="0"/>
          <w:szCs w:val="28"/>
          <w:lang w:val="ru-RU"/>
        </w:rPr>
        <w:t xml:space="preserve"> 2994,8</w:t>
      </w:r>
      <w:r>
        <w:rPr>
          <w:b w:val="0"/>
          <w:i w:val="0"/>
          <w:szCs w:val="28"/>
        </w:rPr>
        <w:t xml:space="preserve"> тыс.</w:t>
      </w:r>
      <w:r>
        <w:rPr>
          <w:b w:val="0"/>
          <w:i w:val="0"/>
          <w:szCs w:val="28"/>
          <w:lang w:val="ru-RU"/>
        </w:rPr>
        <w:t xml:space="preserve"> </w:t>
      </w:r>
      <w:r>
        <w:rPr>
          <w:b w:val="0"/>
          <w:i w:val="0"/>
          <w:szCs w:val="28"/>
        </w:rPr>
        <w:t xml:space="preserve">рублей (с учетом поступлений дифференцированных нормативов отчислений от акцизов на нефтепродукты), что составляет </w:t>
      </w:r>
      <w:r>
        <w:rPr>
          <w:b w:val="0"/>
          <w:i w:val="0"/>
          <w:szCs w:val="28"/>
          <w:lang w:val="ru-RU"/>
        </w:rPr>
        <w:t>99 %</w:t>
      </w:r>
      <w:r>
        <w:rPr>
          <w:b w:val="0"/>
          <w:i w:val="0"/>
          <w:szCs w:val="28"/>
        </w:rPr>
        <w:t xml:space="preserve"> к ожидаемому поступлению за 20</w:t>
      </w:r>
      <w:r>
        <w:rPr>
          <w:b w:val="0"/>
          <w:i w:val="0"/>
          <w:szCs w:val="28"/>
          <w:lang w:val="ru-RU"/>
        </w:rPr>
        <w:t>23</w:t>
      </w:r>
      <w:r>
        <w:rPr>
          <w:b w:val="0"/>
          <w:i w:val="0"/>
          <w:szCs w:val="28"/>
        </w:rPr>
        <w:t xml:space="preserve"> год. </w:t>
      </w:r>
    </w:p>
    <w:p w:rsidR="00AB5FDE" w:rsidRDefault="00AB5FDE" w:rsidP="00AB5FDE">
      <w:pPr>
        <w:pStyle w:val="3"/>
        <w:ind w:firstLine="360"/>
        <w:jc w:val="right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Таблица 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3"/>
        <w:gridCol w:w="1567"/>
        <w:gridCol w:w="1514"/>
        <w:gridCol w:w="1514"/>
        <w:gridCol w:w="1477"/>
      </w:tblGrid>
      <w:tr w:rsidR="00AB5FDE" w:rsidTr="00AB5FD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Показатели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2023 год (оценка)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2024 год (прогноз)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2025 год (прогноз)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2026 год (прогноз)</w:t>
            </w:r>
          </w:p>
        </w:tc>
      </w:tr>
      <w:tr w:rsidR="00AB5FDE" w:rsidTr="00AB5FD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 xml:space="preserve">Налоговые и неналоговые доходы консолидированного бюджета района, тыс. рублей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 xml:space="preserve">  </w:t>
            </w:r>
          </w:p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2994,5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spacing w:before="240"/>
              <w:jc w:val="both"/>
              <w:rPr>
                <w:b w:val="0"/>
                <w:i w:val="0"/>
                <w:sz w:val="24"/>
                <w:szCs w:val="28"/>
                <w:lang w:val="en-US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3846,8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spacing w:before="240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3991,0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 xml:space="preserve"> </w:t>
            </w:r>
          </w:p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4134,3</w:t>
            </w:r>
          </w:p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</w:p>
        </w:tc>
      </w:tr>
      <w:tr w:rsidR="00AB5FDE" w:rsidTr="00AB5FD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% роста (снижения) к предыдущему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99</w:t>
            </w:r>
          </w:p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 xml:space="preserve">  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>104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pStyle w:val="3"/>
              <w:jc w:val="both"/>
              <w:rPr>
                <w:b w:val="0"/>
                <w:i w:val="0"/>
                <w:sz w:val="24"/>
                <w:szCs w:val="28"/>
                <w:lang w:val="ru-RU" w:eastAsia="ru-RU"/>
              </w:rPr>
            </w:pPr>
            <w:r>
              <w:rPr>
                <w:b w:val="0"/>
                <w:i w:val="0"/>
                <w:sz w:val="24"/>
                <w:szCs w:val="28"/>
                <w:lang w:val="ru-RU" w:eastAsia="ru-RU"/>
              </w:rPr>
              <w:t xml:space="preserve"> 104</w:t>
            </w:r>
          </w:p>
        </w:tc>
      </w:tr>
    </w:tbl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Собственные (налоговые и неналоговые) доходы консолидированного бюджета муниципального района формируются за счет следующих источников:</w:t>
      </w:r>
    </w:p>
    <w:p w:rsidR="00AB5FDE" w:rsidRDefault="00AB5FDE" w:rsidP="00AB5FDE">
      <w:pPr>
        <w:ind w:firstLine="360"/>
        <w:jc w:val="both"/>
        <w:rPr>
          <w:b/>
          <w:sz w:val="28"/>
          <w:szCs w:val="28"/>
        </w:rPr>
      </w:pPr>
      <w:r>
        <w:rPr>
          <w:color w:val="FF00FF"/>
          <w:sz w:val="28"/>
          <w:szCs w:val="28"/>
        </w:rPr>
        <w:t xml:space="preserve"> </w:t>
      </w:r>
      <w:r>
        <w:rPr>
          <w:color w:val="FF00FF"/>
          <w:sz w:val="28"/>
          <w:szCs w:val="28"/>
        </w:rPr>
        <w:tab/>
        <w:t xml:space="preserve">                        </w:t>
      </w:r>
      <w:r>
        <w:rPr>
          <w:b/>
          <w:sz w:val="28"/>
          <w:szCs w:val="28"/>
        </w:rPr>
        <w:t>Налог на доходы физических лиц.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Прогноз поступления НДФЛ в консолидированный бюджет поселения на 2024 год - 276,0 тыс. рублей рассчитан с учетом ожидаемого поступления за 2023 год – 283 тыс. рублей. Прогноз поступления НДФЛ на 2025 год составляет - 293,0 тыс. рублей (106% к 2024 году), на 2026 год- 311,0 тыс. рублей (106% к 2025 году).         </w:t>
      </w:r>
    </w:p>
    <w:p w:rsidR="00AB5FDE" w:rsidRDefault="00AB5FDE" w:rsidP="00AB5FDE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от уплаты акцизов на нефтепродукты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Прогноз поступления доходов от уплаты акцизов на нефтепродукты сельского поселения Каменный Брод на 2024 год составляет 1096,0 тыс. руб., что составляет – 118% от уровня ожидаемого поступления за 2023 г. Поступление акцизов на 2025 год планируется в сумме – 1129,0 тыс. руб. (103% к 2024 г.), в 2026 году – 1155,0 тыс. руб. (102% к 2025 г.).</w:t>
      </w:r>
    </w:p>
    <w:p w:rsidR="00AB5FDE" w:rsidRDefault="00AB5FDE" w:rsidP="00AB5FDE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Единый сельскохозяйственный налог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Прогноз на 2024 год составляет - 28,0 тыс. рублей составляет 104% от ожидаемых поступлений за 2023 год, на 2025 год - 30,0 тыс. рублей (104% 2024 г.), на 2026 год – 31,3,0 тыс. рублей (104% к 2025г.).</w:t>
      </w:r>
    </w:p>
    <w:p w:rsidR="00AB5FDE" w:rsidRDefault="00AB5FDE" w:rsidP="00AB5FDE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Налог на имущество физических лиц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на 2024 год составляет - 70,0 тыс. рублей составляет 101% от ожидаемых поступлений за 2023 год, на 2025 год - 72,0 тыс. рублей (103% к 2024 г.), на 2026 год – 31,3 тыс. рублей (101% к 2025 г.). </w:t>
      </w:r>
    </w:p>
    <w:p w:rsidR="00AB5FDE" w:rsidRDefault="00AB5FDE" w:rsidP="00AB5FDE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Земельный налог.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Прогноз на 2024 год в сумме 138,0 тыс. рублей составляет 93% от ожидаемых поступлений за 2023 год, на 2025 год – 140,0 тыс. рублей (101% к 2024 г.), на 2026 год - 143,0 тыс. рублей (102% к 2025 г.).</w:t>
      </w:r>
    </w:p>
    <w:p w:rsidR="00AB5FDE" w:rsidRDefault="00AB5FDE" w:rsidP="00AB5FDE">
      <w:pPr>
        <w:tabs>
          <w:tab w:val="left" w:pos="111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от использования имущества находящегося</w:t>
      </w:r>
    </w:p>
    <w:p w:rsidR="00AB5FDE" w:rsidRDefault="00AB5FDE" w:rsidP="00AB5FDE">
      <w:pPr>
        <w:ind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в государственной и муниципальной собственности</w:t>
      </w:r>
      <w:r>
        <w:rPr>
          <w:sz w:val="28"/>
          <w:szCs w:val="28"/>
        </w:rPr>
        <w:t>.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Доход от использования имущества находящегося в государственной и муниципальной собственности являются одним из основных видов доходов сельского поселения Каменный Брод, на его долю приходится около 58 % от суммы налоговых и неналоговых доходов.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 поступления доходов от использования имущества на 2024-2026 годы рассчитан с учетом оформленных договоров на аренду земельных участков и имущества и составляет на 2024 год – 2238,0 тыс. рублей, на 2025 год - 2327,0 тыс. рублей, на 2026 год - 2421,0 тыс. рублей. </w:t>
      </w:r>
    </w:p>
    <w:p w:rsidR="00AB5FDE" w:rsidRDefault="00AB5FDE" w:rsidP="00AB5FDE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Безвозмездные поступления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К безвозмездным поступлениям консолидированного бюджета сельского поселения Каменный Брод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относятся: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дотации бюджету сельского поселения Каменный Брод на выравнивание бюджетной обеспеченности из бюджетов муниципальных районов </w:t>
      </w:r>
      <w:r>
        <w:rPr>
          <w:sz w:val="28"/>
          <w:szCs w:val="28"/>
        </w:rPr>
        <w:t>предусмотрены в бюджете на 2024 год в сумме 1335,5 тыс. рублей, на 2025 – 929,2 тыс. рублей, на 2026 годы – 958,0 тыс. рублей.</w:t>
      </w:r>
    </w:p>
    <w:p w:rsidR="00AB5FDE" w:rsidRDefault="00AB5FDE" w:rsidP="00AB5FDE">
      <w:pPr>
        <w:ind w:firstLine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Расходная часть консолидированного бюджета в разрезе разделов классификации расходов представлена в виде </w:t>
      </w:r>
      <w:proofErr w:type="gramStart"/>
      <w:r>
        <w:rPr>
          <w:b/>
          <w:sz w:val="28"/>
          <w:szCs w:val="28"/>
        </w:rPr>
        <w:t>таблицы:</w:t>
      </w:r>
      <w:r>
        <w:t xml:space="preserve">   </w:t>
      </w:r>
      <w:proofErr w:type="gramEnd"/>
      <w:r>
        <w:t xml:space="preserve">                                                                                                                                                   в тыс. руб.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75"/>
        <w:gridCol w:w="2065"/>
        <w:gridCol w:w="1804"/>
        <w:gridCol w:w="1901"/>
      </w:tblGrid>
      <w:tr w:rsidR="00AB5FDE" w:rsidTr="00AB5FDE">
        <w:trPr>
          <w:trHeight w:val="462"/>
        </w:trPr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Наименование раздела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2024 год       (прогноз)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2025 год (прогноз)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2026 год   (прогноз)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2421,4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1895,8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1895,6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52,2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5,0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5,0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1101,0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1129,0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1155,0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1151,8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1387,9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1373,7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455,9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379,5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408,4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5182,3</w:t>
            </w:r>
            <w:r>
              <w:fldChar w:fldCharType="end"/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4797,2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4837,7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123,0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</w:pPr>
            <w:r>
              <w:t>254,6</w:t>
            </w:r>
          </w:p>
        </w:tc>
      </w:tr>
      <w:tr w:rsidR="00AB5FDE" w:rsidTr="00AB5FDE"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both"/>
              <w:rPr>
                <w:b/>
              </w:rPr>
            </w:pPr>
            <w:r>
              <w:rPr>
                <w:b/>
              </w:rPr>
              <w:t>Всего с учетом условно утвержденных расходов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  <w:rPr>
                <w:b/>
              </w:rPr>
            </w:pPr>
            <w:r>
              <w:rPr>
                <w:b/>
              </w:rPr>
              <w:t>5182,3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  <w:rPr>
                <w:b/>
              </w:rPr>
            </w:pPr>
            <w:r>
              <w:rPr>
                <w:b/>
              </w:rPr>
              <w:t>4920,2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5FDE" w:rsidRDefault="00AB5FDE">
            <w:pPr>
              <w:jc w:val="center"/>
              <w:rPr>
                <w:b/>
              </w:rPr>
            </w:pPr>
            <w:r>
              <w:rPr>
                <w:b/>
              </w:rPr>
              <w:t xml:space="preserve">5092,3 </w:t>
            </w:r>
          </w:p>
        </w:tc>
      </w:tr>
    </w:tbl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Дефицит консолидированного бюджета составляет:</w:t>
      </w:r>
    </w:p>
    <w:p w:rsidR="00AB5FDE" w:rsidRDefault="00AB5FDE" w:rsidP="00AB5FD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 2024 год – 0 тыс. рублей,</w:t>
      </w:r>
    </w:p>
    <w:p w:rsidR="00534F9E" w:rsidRDefault="00AB5FDE" w:rsidP="00AB5FDE">
      <w:pPr>
        <w:ind w:firstLine="360"/>
        <w:jc w:val="both"/>
      </w:pPr>
      <w:r>
        <w:rPr>
          <w:sz w:val="28"/>
          <w:szCs w:val="28"/>
        </w:rPr>
        <w:t xml:space="preserve"> на 2025 год – 0 тыс. рублей, на 2026 год – 0 тыс. рублей.</w:t>
      </w:r>
      <w:bookmarkStart w:id="0" w:name="_GoBack"/>
      <w:bookmarkEnd w:id="0"/>
    </w:p>
    <w:sectPr w:rsidR="00534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D9"/>
    <w:rsid w:val="00534F9E"/>
    <w:rsid w:val="00AB5FDE"/>
    <w:rsid w:val="00E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AC21C-38AF-4415-A439-9E2CA1A15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unhideWhenUsed/>
    <w:rsid w:val="00AB5FDE"/>
    <w:pPr>
      <w:jc w:val="center"/>
    </w:pPr>
    <w:rPr>
      <w:b/>
      <w:i/>
      <w:sz w:val="28"/>
      <w:szCs w:val="20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B5FDE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1008</Words>
  <Characters>5750</Characters>
  <Application>Microsoft Office Word</Application>
  <DocSecurity>0</DocSecurity>
  <Lines>47</Lines>
  <Paragraphs>13</Paragraphs>
  <ScaleCrop>false</ScaleCrop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2023-12-12T05:55:00Z</dcterms:created>
  <dcterms:modified xsi:type="dcterms:W3CDTF">2023-12-12T05:56:00Z</dcterms:modified>
</cp:coreProperties>
</file>